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25.01.2021, оставленным без изменения постановлением Пятнадцатого арбитражного апелляционного суда от 14.03.2021 и постановлением Арбитражного суда Северо-Кавказского округа от 19.05.2021, в удовлетворении заявления отказано в связи с отсутствием нарушений процедуры проведения торгов, которые могли бы повлиять на их результаты. В кассационной жалобе ФИО1 просит об отмене судебных актов, ссылаясь на игнорирование судами наличия заинтересованности между кредитором должника и победителем торгов.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наличие родственных связей между кредитором должника и победителем торгов не повлек преимуществ для покупателя и вреда для кредиторов, поэтому не создал условий, влекущих недействительность торгов.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"Российский сельскохозяйственный банк" (подробнее) ООО "МерАл" (подробнее) ПАО Банк ВТБ (подробнее) Ответчики: ИП Мусатаев М.Б. (подробнее) Ф/У Рудой А.Н. (подробнее) Иные лица: ИФНС №16 по Ростовской области (подробнее) ООО "Эос" (подробнее) Союз СРО "СЕМТЭК" (подробнее) Управление Федеральной налоговой службы России по Ростовской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