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05.02.2016 в пользу акционерного общества «Банк Интеза» 29 032 967 рублей 19 копеек с указанием в назначении платежа на оплату по кредитному договору от 20.05.2014 № LD1411500047. Определением Арбитражного суда Республики Татарстан от 17.12.2020, оставленным без изменения постановлениями Одиннадцатого арбитражного апелляционного суда от 17.02.2021 и Арбитражного суда Поволжского округа от 27.04.2021,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199 Гражданского кодекса Российской Федерации, статьями 61.1-61.3 Федерального закона от 26.10.2002 № 127-ФЗ «О несостоятельности (банкротстве)», исходили из недоказанности причин для удовлетворения заявления конкурсного управляющего должником по заявленным основаниям, указав, в том числе на пропуск срока исковой давности на предъявление требований, что является самостоятельным основанием к отказу в их удовлетворении.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Спарта»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