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перечисления должником 19.01.2016 в пользу публичного акционерного общества «Сбербанк России» 15 951 000 рублей с целью досрочноого погашения обязательств по кредитному договору от 24.03.2014 № 1221/8610/0063/0012/14. Определением Арбитражного суда Республики Татарстан от 09.12.2020, оставленным без изменения постановлениями Одиннадцатого арбитражного апелляционного суда от 28.01.2021 и Арбитражного суда Поволжского округа от 15.04.2021,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199 Гражданского кодекса Российской Федерации, статьями 61.1-61.3 Федерального закона от 26.10.2002 № 127-ФЗ «О несостоятельности (банкротстве)», исходили из недоказанности причин для удовлетворения заявления конкурсного управляющего должником по заявленным основаниям, указав, в том числе на пропуск срока исковой давности на предъявление требований, что является самостоятельным основанием к отказу в их удовлетворении.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«Фирма Спарта»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