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Нижегородской области решением от 24.07.2020, оставленным без изменения постановлением Первого арбитражного апелляционного суда от 10.12.2020 и постановлением Арбитражного суда Волго-Вятского округа от 12.04.2021, урегулировал разногласия по параграфам 7, 9, 14, 15 и исключил из договора параграфы 19, 19.1. В кассационной жалобе общество просит об изменении судебных актов в отношении параграфа 15 договора, ссылаясь на игнорирование протяженности состава при толковании норм Тарифного руководства № 3.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Расстояние, за которое взимается сбор за подачу и уборку вагонов, установлено судами в соответствии с технической документацией на путь и пунктами 2.7.3, 2.7.4 постановления Федеральной энергетической комиссии Российской Федерации от 19.06.2002 № 35/15 «Об утверждении «Правил применения сборов за дополнительные операции, связанные с перевозкой грузов на федеральном железнодорожном транспорте (Тарифное руководство № 3)», предусматривающими определение расстояния подачи и уборки вагонов исходя из всей длины выставочного пути вне зависимости от технологии подачи вагонов.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«Кстовопромойл»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"Кстовопромойл" (подробнее) Ответчики: ОАО "РЖД"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