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01.09.2020, оставленным без изменения постановлением Девятого арбитражного апелляционного суда от 14.12.2020, в иске отказано. Постановлением Арбитражного суда Московского округа от 20.04.2021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ссылаясь на допущенные, по его мнению, существенные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309 , 310 , 421 , 431 , 450 , 453 Гражданского кодекса Российской Федерации, суды отказали в иске, признав, что последствия расторжения договора установлены соглашением сторон исходя из принципа свободы договора, а также, не установив доказательств выполнения и передачи работ до расторжения договора.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не согласиться с которыми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"Каста" (подробнее) Ответчики: ФГБУ "Российская академия наук"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