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05.08.2020, оставленным без изменения постановлениями Девятого арбитражного апелляционного суда от 22.01.2021 и Арбитражного суда Московского округа от 03.06.2021, в удовлетворении заявленных требований отказано. 2 В кассационной жалобе, поданной в Верховный Суд Российской Федерации,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признанным победителем электронного аукциона на право заключения договора аренды на объект нежилого фонда, находящийся в имущественной казне города Москвы, в адрес департамента представлен договор, в котором в качестве планируемого вида деятельности указано слово «ЧОП». Протоколом заседания единой комиссии департамента общество признано уклонившимся от подписания договора аренды, в его адрес направлен отказ от заключения договора аренды. По результатам рассмотрения жалобы общества на действия департамента, антимонопольным органом принято решение о признании жалобы необоснованной. Договор по результатам спорной закупки заключен с участником, занявшим второе место (ООО «Ригель»). Указанные обстоятельства послужили основанием для обращения общества в арбитражный суд. Разрешая спор, суды исходили из обстоятельств дела, установленных применительно к имеющимся доказательствам, оцененным по правилам главы 7 Арбитражного процессуального кодекса Российской Федерации, и пришли к выводу об отсутствии оснований для удовлетворения заявленных требований. Суды учли, что аукционной документацией предусмотрено, что указание в качестве вида деятельности слова «ЧОП» недопустимо, в связи с чем признали такое заполнение обществом договора некорректным. При этом судебные инстанции отметили, что указание в договоре аренды слова «ЧОП» не позволяет установить вид деятельности, который победитель аукциона будет осуществлять в помещении, поскольку действующее 3 законодательство не содержит такого понятия и не использует слово «ЧОП» и понятие «частное охранное предприятие». Установив, что общество не осуществило исправление некорректно заполненного договора аренды, суды пришли к выводу о том, что департаментом правомерно составлен протокол об отказе от заключения договора и признании общества уклонившимся от заключения договора аренды. Приведенные в жалобе доводы повторяют правовую позицию общества по спору, являлись предметом рассмотрения судов нижестоящих инстанций и получили надлежащую правовую оценку,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Несогласие заявителя с выводами судов и иная оценка им фактических обстоятельств дела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«БУШЕ»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