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11.09.2020, оставленным без изменения постановлениями Двадцатого арбитражного апелляционного суда от 07.12.2020 и Арбитражного суда Центрального округа от 20.04.2021, заявленное требование удовлетворено. В кассационной жалобе антимонопольный орган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министерства при проведении предварительного отбора подрядных организаций на оказание услуг и (или) выполнение работ по ремонту, замене, модернизации лифтов, ремонту лифтовых шахт, машинных и блочных помещений, выразившиеся в принятии решения об отказе обществу во включении в реестр квалифицированных подрядных организаций в связи с отсутствием в штате организации минимального количества квалифицированного персонала, антимонопольным органом принято решение о признании жалобы необоснованной. Не соглашаясь с ненормативным правовым актом управления, общество обратилось в арбитражный суд. Исследовав и оценив представленные в материалы дела доказательства, руководствуясь положениями статей 180, 182 Жилищного кодекса Российской Федерации, пункта 2 части 6 статьи 55.5 Градостроительного кодекса Российской Федерации, Положением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утвержденным постановлением Правительства Российской Федерации от 01.07.2016 № 615, суды пришли к выводу о том, что оспариваемое решение не соответствует действующему законодательству и нарушает права и законные интересы общества. Судебные инстанции исходили из произвольного установления министерством в документации о проведении предварительного отбора подрядных организаций завышенных требований к минимальной численности квалифицированного персонала участников отбора, не обусловленных предметом спорного предварительного отбора. Доводы антимонопольного органа, изложенные в кассационной жалобе, не подтверждают наличие существенных нарушений норм материального права и (или) норм процессуального права, повлиявших на исход дела.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3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Рязанской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