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06.10.2020, оставленным без изменения постановлением Десятого арбитражного апелляционного суда от 14.12.2020, в удовлетворении требования отказано. 2 Постановлением Арбитражного суда Московского округа от 12.04.2021 указанные судебные акты оставлены без изменения. Общество просит принятые по делу судебные акты отменить, считая их незаконными и необоснованными.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Федерального закона от 16.07.1999 № 165-ФЗ «Об основах обязательного социального страхования», Федерального закона от 29.12.2006 № 255-ФЗ «Об обязательном социальном страховании на случай временной нетрудоспособности и в связи с материнством», суды отказали в удовлетворении требования, не установив оснований для возмещения обществом понесенных расходов исходя из установленных обстоятельств, свидетельствующих о том, что расчет страхового обеспечения по обязательному социальному страхованию на случай временной нетрудоспособности и в связи с материнством произведен обществом на основании недостоверных сведений. Доводы общества были предметом оценки судов и отклонены исходя из установленных обстоятельств относительно наличия у общества возможности по предоставлению достоверных сведений, не согласиться с которой по доводам жалобы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