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27.07.2020, оставленным без изменения постановлениями Девятого арбитражного апелляционного суда от 17.12.2020 и Арбитражного суда Московского округа от 20.04.2021, в удовлетворении иска отказано. В кассационной жалобе, поданной в Верховный Суд Российской Федерации, управление ставит вопрос об отмене принятых по делу судебных 2 актов, ссылаясь на существенное нарушение судами норм права, неполную оценку обстоятельств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учреждением (заказчик) и обществом (подрядчик) заключен государственный контракт по созданию учебно-тренировочного центра с элементами спортивной подготовки. В соответствии с приказом Министерства Российской Федерации по делам гражданской обороны, чрезвычайным ситуациям и ликвидации последствий стихийных бедствий от 10.10.2016 № 540 «О дополнительных мерах по вводу в эксплуатацию объектов незавершенного строительства в МЧС России» управление приняло от учреждения затраты (задолженности) с одновременным возложением функций государственного заказчика по действующим государственным контрактам. В обоснование иска управлением указано, что в процессе приемки обязательств было установлено несоответствие принятых затрат на строительство фактически выполненным подрядчиком работам. Оценив представленные в материалы дела доказательства, суды, руководствуясь положениями статей 309, 310, 450, 452, 702, 708, 715, 717 Гражданского кодекса Российской Федерации, принимая во внимание обстоятельства, установленные по результатам рассмотрения дела № А40-95623/2017, пришли к выводу об отсутствии оснований для удовлетворения иска. При этом судебные инстанции исходили из надлежащего выполнения подрядчиком принятых на себя по государственному контракту обязательств. Суды отметили, что невыполнение подрядчиком части работ по контракту произошло не в результате нарушения им своих обязательств, а стало следствием приостановления работ в связи с не предоставлением заказчиком уточненной проектной документации, доступа на строительную площадку и разрешения на строительство. Доводы управления, изложенные в кассационной жалобе, не подтверждают наличие существенных нарушений норм материального права и (или) норм процессуального права, повлиявших на исход дела. 3 Несогласие заявителя с выводами судов, иная оценка им фактических обстоятельств дела и иное толкование к ним положений закона, не означают допущенной при рассмотрении дела судебной ошибки и в силу статьи 291.6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Главному управлению Министерства Российской Федерации по делам гражданской обороны, чрезвычайным ситуациям и ликвидации последствий стихийных бедствий по Ивановской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