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24.12.2020, оставленным без изменения постановлением Двенадцатого арбитражного апелляционного суда от 03.03.2021 и постановлением Арбитражного суда Поволжского округа от 26.05.2021, в удовлетворении исковых требований отказано. В кассационной жалобе, поданной в Верховный Суд Российской Федерации, предприниматель, ссылаясь на незаконность указанных судебных актов, просит их отменить и принять по делу новый судебный акт об удовлетворении исковых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мотивированы существенным изменением обстоятельств, из которых стороны исходили при заключении договора аренды, по условиям которого общество обязалось предоставить предпринимателю помещение, а последний – уплачивать арендную плату, состоящую из базовой арендной платы, платы за коммунальные услуги, платы за эксплуатационные расходы, платы с оборота, платы за рекламные (маркетинговые) услуги.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аренды и действия сторон по его исполнению, суды установили, что предприниматель воспользовался предложением общества и не производил базовую арендную плату, а также плату за рекламные мероприятия в связи с предоставлением последним скидки по договору аренды в период с апреля по сентябрь 2020 года; арендодатель внесения указанной части платежей не требовал; сторонами 30.11.2020 подписан акт возврата помещений, при этом доказательств их возврата или освобождения арендатором ранее указанной даты не представлено; факт внесения предпринимателем каких-либо платежей по договору в период с августа по октябрь 2020 года не подтвержден, в связи с чем арендодатель зачел обеспечительный платеж в счет исполнения арендатором обязательств за названный период. При таких обстоятельствах, руководствуясь статьями 307, 434, 438, 450, 450.1, 606, 611, 614, 619, 620 Гражданского кодекса Российской Федерации, положениями Федерального закона от 01.04.2020 № 98-ФЗ «О внесении изменений в отдельные законодательные акты Российской Федерации по вопросам предупреждения и ликвидации чрезвычайных ситуаций», суды пришли к выводу об отсутствии оснований для удовлетворения исковых требований.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Принимая во внимание изложенное и руководствуясь статьями 291.6, 3 291.8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Масоновой Алевтины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