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16.09.2020 иск удовлетворен. Постановлением Тринадцатого арбитражного апелляционного суда от 24.12.2020 решение суда первой инстанции изменено, с завода в пользу института взыскано 8 002 888 руб. неустойки за период с 17.02.2018 по 13.12.2019, в остальной части иска отказано. Постановлением Арбитражного суда Северо-Западного округа от 21.04.2021 постановление суда апелляционной инстанции оставлено без изменения. В кассационной жалобе, поданной в Верховный Суд Российской Федерации, завод, ссылаясь на нарушение судами норм права, просит отменить указанные судебные акты и принять по делу новый судебный акт об отказе в удовлетворении иска.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Изменяя решение суда первой инстанции и удовлетворяя иск в части, суд апелляционной инстанции, руководствуясь статьями 329 , 330 , 454 , 506 , 516 Гражданского кодекса Российской Федерации,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установил период начисления неустойки за просрочку исполнения заводом обязательств по оплате поставленного институтом товара, произвел ее перерасчет и определил размер взыскиваемой суммы.Суд округа поддержал выводы апелляционного суда.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обстоятельств, установленных судами, и не подтверждают существенных нарушений судами норм материального и процессуального права, повлиявших на исход дела. Учитывая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открытого акционерного общества «Машиностроительный завод «Арсенал»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АО "НАУЧНО-ИССЛЕДОВАТЕЛЬСКИЙ ИНСТИТУТ ТОЧНЫХ ПРИБОРОВ" (подробнее) Ответчики: ОАО "Машиностроительный завод "Арсенал" (подробнее) Судьи дела: Чучунова Н.С. (судья) (подробнее) Судебная практика по: По договору поставки Судебная практика по применению норм ст. 506, 507 ГК РФ По договору купли продажи, договор купли продажи недвижимости Судебная практика по применению нормы ст. 454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