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18.09.2020, оставленным без изменения постановлением Седьмого арбитражного апелляционного суда от 21.01.2021 и постановлением Арбитражного суда Западно-Сибирского округа от 15.04.2021, заявленное требование удовлетворено частично, решение инспекции признано недействительным в части начисления штрафа в размере 5 507 420 рублей 62 копеек. В остальной части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в части отказа в удовлетворении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в отношении общества за период с 01.01.2015 по 31.12.2016, по результатам составлен акт налоговой проверки от 23.01.2019 № 2 и принято решение от 11.07.2019 № 29, которым общество привлечено к ответственности, предусмотренной пунктом 3 статьи 122 Налогового кодекса Российской Федерации (далее - Налоговый кодекс), пунктом 1 статьи 119 Налогового кодекса в виде штрафа в сумме 14 742 663 рублей, доначислены налог на прибыль, налог на добавленную стоимость (далее - НДС), налог на имущество организаций в общей сумме 21 060 946 рублей и 4 795 510 рублей 70 копеек пени. Решением Управления Федеральной налоговой службы по Кемеровской области от 13.03.2020 № 111 решение инспекции отменено в части доначисления налога на прибыль в сумме 80 296 рублей, начисления штрафа по пункту 1 статьи 119 Налогового кодекса в размере 24 089 рублей, штрафа по пункту 3 статьи 122 Налогового кодекса в размере 32 119 рублей, пени в размере 17 809 рублей 65 копеек, из резолютивной части решения исключен пункт 3.3. В остальной части решение инспекции оставлено без изменения. Не согласившись с решением инспекции, общество обратилось в арбитражный суд. Отказывая в удовлетворении заявления, суд первой инстанции, исследовав и оценив представленные в материалы дела доказательства, руководствуясь положениями Налогового кодекса, учитывая разъяснения, изложенные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пришел к выводу о наличии у инспекции правовых оснований для принятия оспоренного решения. Судом установлено, что в результате выделения ООО «Дружба», ООО «Максимум», ООО «Транзит» и наделения вновь созданных организаций недвижимым имуществом, обществом получена необоснованная налоговая выгода с целью сохранения права на применение специального налогового режима. При этом фактически управление действиями общества и вновь организованными обществами осуществлялось одними и теми же лицами, все организации функционировали по одному адресу и использовали единую материально-техническую базу, расчетные счета открыты одним лицом в одних 3 и тех же банках, управление платежами по системе «Клиент-Банк» велось с одного IP-адреса, принадлежащего обществу, одним и тем же системным администратором - штатным работником общества, денежные средства с расчетных счетов данных организаций по доверенности получало одно лицо, являющееся штатным работником общества, ведение бухгалтерского и налогового учета велось одним бухгалтером. Судом также установлено, что иных доходов от самостоятельного ведения предпринимательской деятельности вновь созданные общества не имели; заявитель после проведения реорганизации и выделения обществ, наделенных имуществом и статусом арендодателей, продолжал самостоятельно вести переписку с арендатором - ООО «Розница К-1» по вопросам, связанным с текущей арендной платой имущества, которое находилось на балансе вновь созданных обществ. Установив указанные обстоятельства, суд пришел к выводу о совершении обществом действий, направленных на дробление бизнеса с целью занижения доходов путем привлечения подконтрольных ему организаций, не имеющих возможности осуществлять самостоятельно предпринимательскую деятельность ввиду отсутствия для этого условий. Суды апелляционной инстанции и округа поддержали выводы суда первой инстанции. Доводы заявителя, изложенные в кассационной жалобе, аналогичны доводам, заявленным при рассмотрении дела в судах трех инстанций, являлись предметом их рассмотрения и получили надлежащую правовую оценку. Указанные доводы не подтверждают существенных нарушений норм материального и процессуального права, повлиявших на исход дела,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«Куйбышевский торг»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