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Камчатского края от 09.11.2020, оставленным без изменения постановлением Пятого арбитражного 2 апелляционного суда от 13.01.2021, оспариваемое постановление изменено в части назначенного наказания, размер штрафа снижен до 100 000 рублей. Постановлением Арбитражного суда Дальневосточного округа от 14.04.2021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 и установив, что принадлежащее обществу судно рыбопромыслового флота нарушило порядок прохождения установленных контрольных пунктов (точек) при пересечении внешней границы исключительной экономической зоны Российской Федерации, суды пришли к выводу о наличии в действиях общества состава административного правонарушения, ответственность за которое установлена статьей 18.6 Кодекса Российской Федерации об административных правонарушениях, однако, применив положения частей 3.2 и 3.3 статьи 4.1 Кодекса Российской Федерации об административных правонарушениях снизили размер назначенного обществу административного штрафа до 100 000 рублей, изменив 3 оспариваемое постановление о привлечении к административной ответственности в соответствующей части.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правонарушения, в том числе относительно осуществления обществом промышленного рыболовства.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