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07.10.2020, оставленным без изменения постановлением Семнадцатого арбитражного апелляционного суда от 18.01.2021, в удовлетворении требований отказано. Постановлением Арбитражного суда Уральского округа от 14.05.2021 указанные судебные акты оставлены без изменения. 2 Общество просит отменить принятые по делу судебные акты,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21, 79, 171, 172, 252 Налогового кодекса Российской Федерации, постановления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отказали в удовлетворении заявленных требований, не признав спорные суммы излишне уплаченными (взысканными), и не установив оснований для их возврата. Приведенные в жалобе доводы сводятся к изложению обстоятельств дела, которые получили надлежащую правовую оценку судов и мотивированно отклонены, выводы судов не опровергают, не подтверждают существенных нарушений судами норм материального и (или) процессуального права и не являются достаточным основанием для пересмотра судебных актов в кассационном порядке. 3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