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03.11.2020, оставленным без изменения постановлением Пятнадцатого арбитражного апелляционного суда от 28.01.2021, иск удовлетворен частично, с общества в 2 пользу учреждения взыскано 35 807,17 рублей неустойки, в удовлетворении остальной части иска отказано. Постановлением Арбитражного суда Северо-Кавказского округа от 27.04.2021 указанные судебные акты оставлены без изменения. Учреждение просит отменить состоявшиеся по делу судебные акты в части отказа в иске, считая их принятыми с существенным нарушением норм материального и процессуального права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708, 711, 759, 763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взыскав неустойку за нарушение конечного срока выполнения работ. Доводы жалобы повторяют позицию учреждения по делу, являлись предметом рассмотрения судов и получили исчерпывающую правовую оценку исходя из буквального толкования условий контракта, не предусматривающего 3 обязанности общества по передаче отдельных видов работ, поименованных в графике. Указанные выводы судов в жалобе не опровергнуты.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