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Красноярского края от 03.12.2020 (с учетом определения от 21.12.2020 об исправлении описки), оставленным без изменения постановлением Третьего арбитражного апелляционного суда от 09.02.2021 и постановлением Арбитражного суда Восточно-Сибирского округа от 20.05.2021, иск удовлетворен.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новый судебный акт об отказе в удовлетворении иска.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и удовлетворяя иск, суды первой и апелляционной инстанций,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12 , 15 , 393 , 606 , 611 , 615 , 622 , 721 , 722 , 723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исходили из доказанности компанией совокупности условий, необходимых для привлечения общества к ответственности в виде взыскания убытков, составляющих стоимость ремонтно-восстановительных работ арендованного последним тепловоза. Суд округа согласился с выводами судов первой и апелляционной инстанций, не установив нарушений ими норм процессуального права, являющихся основанием для отмены судебных актов. Выводы судов основаны на фактических обстоятельствах спора, правомочиями по установлению и исследованию которых суд кассационной инстанции не наделен.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«АТИКА»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"КРАСНОЯРСККРАЙУГОЛЬ" (подробнее) Ответчики: ООО "Атика" (подробнее) Иные лица: АО ПОЧТА РОССИИ (подробнее) УФССП по Красноярскому краю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