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25.09.2020, оставленным без изменения постановлением Тринадцатого арбитражного апелляционного суда от 28.01.2021 и постановлением Арбитражного суда Северо-Западного округа от 13.05.2021,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города Санкт-Петербурга и Ленинградской области либо принять по делу новый судебный акт об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материалов дела, требования общества мотивированы причинением ему убытков в связи с невозможностью пользования переданными по договорам лизинга транспортными средствами вследствие поставки товара ненадлежащего качества и простоя транспортных средств в период устранения недостатков товара компанией.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общество и компанию не связывают договорные отношения, последняя на себя гарантийных обязательств перед обществом не принимала, доказательств принятия компанией транспортных средств в ремонт по гарантии, признания ею наличия производственных дефектов транспортных средств, как и доказательств наличия таких дефектов не представлено. При таких обстоятельствах, руководствуясь статьей 15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пришли к выводу о том, что требования общества заявлены к ненадлежащему ответчику, не доказаны и удовлетворению не подлежат. Суд округа согласился с выводами судов первой и апелляционной инстанций. Изложенные в кассационной жалобе доводы были предметом рассмотрения суда округа и получили правовую оценку,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«Маник»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"Маник" (подробнее) Ответчики: ЗАО "Компания автоприцепов"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