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21.10.2020, оставленным без изменения постановлением Семнадцатого арбитражного 2 апелляционного суда от 22.01.2021, в удовлетворении заявленного требования отказано. Постановлением Арбитражного суда Уральского округа от 26.04.2021 указанные судебные акты оставлены без изменения. Общество обратилось в Верховный Суд Российской Федерации с кассационной жалобой на состоявшиеся по делу судебные акты,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20, 326, 340 Таможенного кодекса Евразийского экономического союза, Основных правил интерпретации, статей 198, 200 Арбитражного процессуального кодекса российской Федерации, суды отказали в удовлетворении требований, признав, что таможенным органом доказана неверная классификация декларантом ввезенного товара. Приведенные в жалобе доводы были предметом исследования судов и отклонены в отсутствие надлежащих доказательств достоверности классификации декларантом товара в заявленной подсубпозиции. Доводы жалобы не подтверждают существенные нарушения норм материального и (или) процессуального права, которые могли повлиять на исход дела, и не являются достаточными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