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30.09.2020, оставленным без изменения постановлением Семнадцатого арбитражного апелляционного суда от 18.12.2020, заявленные требования удовлетворены. Постановлением Арбитражного суда Уральского округа от 12.04.2021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состоявшиеся по делу судебные акта отменить, считая их принятыми с существенным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19.7.3 Кодекса Российской Федерации об административных правонарушениях установлена административная ответственность за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Оценив представленные доказательства, суды пришли к выводу о недоказанности административным органом в действиях общества состава административного правонарушения, ответственность за которое предусмотрена статьей 19.7.3 Кодекса Российской Федерации об административных правонарушениях, установив конкретные обстоятельства дела, связанные с отсутствием у кооператива возможности ознакомиться с направленным запросом и представить необходимую информацию. Доводы жалобы о направлении заявления в арбитражный суд неуполномоченными лицами были предметом исследования судов и получили исчерпывающую правовую оценку с учетом того, что конкурсным управляющим настоящее заявление в ходе судебного разбирательства в суде первой инстанции было поддержано.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КРЕДИТНЫЙ "ПЕРВЫЙ УРАЛЬСКИЙ" (подробнее) Ответчики: Центральный банк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