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30.09.2020 заявленные требования удовлетворены. Постановлением Девятого арбитражного апелляционного суда от 15.01.2021 решение суда первой инстанции изменено в части указания заводского номера домкрата, в остальной части оставлено без изменения. Постановлением Арбитражного суда Московского округа от 20.04.2021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компании мотивированы тем, что ею в рамках заключенного с обществом договора субподряда на объекте последнего выполнялись строительные работы, для чего компанией были приобретены спорные домкраты; после прекращения действия договора и завершения работ общество воспрепятствовало вывозу домкратов и удержало их. Разрешая спор и удовлетворяя заявленные требования,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пришли к выводу о доказанности факта нахождения спорных домкратов у общества и наличии у него обязанности по их возврату истцу. С указанными выводами впоследствии согласился суд округа. Приведенные в кассационной жалобе доводы существенных нарушений судами норм материального и процессуального права, повлиявших на исход дела, не подтверждают, а по существу свидетельствуют о несогласии заявителя с выводами судов по обстоятельствам спора,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не подлежит рассмотрению.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«Баварский 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