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08.10.2020, оставленным без изменения постановлением Девятого арбитражного апелляционного суда от 14.12.2020 и постановлением Арбитражного суда Московского округа от 15.04.2021, с общества в пользу компании взыскано 2 061 388 руб. 56 коп. долга и 673 786 руб. 17 коп. неустойки,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направить дело на новое рассмотрение в Арбитражный суд города Москвы.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компанией коммунальных услуг и услуг по содержанию и текущему ремонту, неисполнения обществом обязанности по оплате этих услуг, проверив и признав верным представленный компанией расчет, руководствуясь статьями 210, 249, 309, 310, 330, 779, 781 Гражданского кодекса Российской Федерации, статьей 153 Жилищного кодекса Российской Федерации, суды первой и апелляционной инстанций пришли к выводу о наличии оснований для удовлетворения исковых требований с учетом снижения размера взыскиваемой неустойки на основании статьи 333 Гражданского кодекса Российской Федерации. С выводами судов первой и апелляционной инстанций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«Мангала»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