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30.09.2020, оставленным без изменения постановлением Десятого арбитражного апелляционного суда от 17.12.2020 и постановлением Арбитражного суда Московского округа от 14.04.2021, первоначальные исковые требования удовлетворены частично, с общества в пользу компании взыскано 2 147 421 руб. 43 коп. неустойки за период с 01.06.2018 по 26.07.2019, в удовлетворении остальной части требований отказано; встречные исковые требования удовлетворены; произведен зачет удовлетворенных требований. В кассационной жалобе, поданной в Верховный Суд Российской Федерации, компания, ссылаясь на нарушение судами норм права, несоответствие их выводов фактическим обстоятельствам дела, просит отменить указанные судебные акты и принять по делу новый судебный акт об удовлетворении первоначальных исковых требований и отказе в удовлетворении встречных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предъявленные взаимные требования компании (подрядчик) и общества (субподрядчик) основаны на договоре субподряда от 30.04.2015 № 28-СДО-ГО-2015, от исполнения которого подрядчик отказался в одностороннем порядке.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 факт выполнения обществом работ к моменту расторжения договора на сумму, превышающую сумму перечисленного компанией аванса, и наличие у последней задолженности в спорном размере. Исходя из того, что компанией не представлено доказательств оплаты задолженности; направленное последней уведомление-претензия не содержит заявления о зачете; факт получения обществом акта зачета не подтвержден; основания для удержания компанией из суммы оплаты убытков в виде уплаченного ею административного штрафа отсутствуют с учетом недоказанности вины общества в действиях, повлекших привлечение генподрядчика к административной ответственности; признав обоснованным начисление компанией неустойки за просрочку выполнения обществом работ и произведя ее перерасчет с учетом суммы невыполненных работ, руководствуясь статьями 15, 329, 330, 395, 407, 410, 431, 450, 453, 702, 711, 740 Гражданского кодекса Российской Федерации, суды пришли к выводу о наличии оснований для удовлетворения первоначальных требований в части, а встречных требований – в полном объеме. Суд округа согласился с выводами судов первой и апелляционной инстанций. 3 Доводы кассационной жалобы были предметом рассмотрения судов и получили правовую оценку, не опровергают выводы судов,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«Дорожно-строительная компания «Автобан»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