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29.10.2020, оставленным без изменения постановлением Девятого арбитражного апелляционного суда от 25.01.2021, требования Калининой Е.В. в размере 28 421 814 рублей 32 копеек включены в третью очередь реестра требований кредиторов должника. Арбитражный суд Московского округа постановлением от 09.04.2021 определение от 29.10.2020 и постановление Девятого арбитражного апелляционного суда от 25.01.2021 оставил без изменения. В кассационной жалобе Мамотенко С.В. просит об отмене судебных актов, ссылаясь на обоснованность подозрений о фиктивности договоров займа.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источники получения заимодавцем предоставленных должнику денежных средств, исследовали доказательства исполнения договоров займа, идентифицируемые с заявленным требованием и сторонами, поэтому возражения кредитора признали необоснованными. Вопросы доказывания и оценки доказательств, на которых построены доводы жалобы, не отвечают критериям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Мамотенко С.В.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