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его требования в реестр требований кредиторов должника. Определением Арбитражного суда города Москвы от 04.10.2019 в третью очередь реестра требований кредиторов должника включено требование банка в размере 445 475 рублей 77 копеек, отказано в удовлетворении остальной части требований. Постановлением Девятого арбитражного апелляционного суда от 16.12.2019, оставленным без изменения постановлением Арбитражного суда Московского округа от 02.03.2020, отменено определение суда первой инстанции от 04.10.2019 в части отказа в удовлетворении требований, в третью очередь реестра требований кредиторов должника включены требования банка в размере 1 866 429 рублей 53 копеек, в том числе 1 849 507 руб. 36 коп. основного долга, 7 838 руб. 87 коп. процентов, как обеспеченные залогом следующего имущества: квартира, расположенная на 6 этаже, общей площадью 36,9 кв.м., расположенный по адресу: г. Москва, г. Зеленоград, корп. 2038, кв. 34, кадастровый/условный номер 77:10:0006008:6466. Не согласившись с вышеуказанными судебными актами, ФИО2 обратилась в Верховный Суд Российской Федерации с кассационной жалобой на постановление суда округа,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ввиду наличия вероятности реализации указанного заложенного имущества на торгах,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приостановлении исполнения постановления Девятого арбитражного апелляционного суда от 16.12.2019 по делу № А40-191/2019, оставленного без изменения постановлением и постановлением Арбитражного суда Московского округа от 02.03.2020 по тому же делу, отказать. Судья Верховного Суда Российской Федерации Е.С. Корнелюк Суд: Верховный Суд РФ (подробнее) Истцы: АО "Банк Русский Стандарт" (подробнее) АО КБ "Космос" (подробнее) ИФНС России №35 по г.Москве (подробнее) ПАО Банк ВТБ (подробнее) ПАО " Сбербанк России" (подробнее) ПАО "Сбербанк России" (подробнее) Судьи дела: Корнелюк Е.С. (судья) (подробнее) Последние документы по делу: Определение от 22 мая 2020 г. по делу № А40-191/2019 Определение от 3 апреля 2020 г. по делу № А40-191/2019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