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05.10.2020, оставленным без изменения постановлением Девятого арбитражного апелляционного суда от 18.01.2021, иск удовлетворен. Арбитражный суд Московского округа постановлением от 13.04.2021 решение от 05.10.2020 и постановление Девятого арбитражного апелляционного суда от 18.01.2021 оставил без изменения. В кассационной жалобе предприниматель просит об отмене судебных актов, ссылаясь на игнорирование использования компанией произведенного им продукта.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об отсутствии между сторонами договора и фактического исполнения обязательства, создающем условия для взыскания спорной суммы по правилам статьи 1102 Гражданского кодекса Российской Федерации, основаны на исследованных доказательствах, требуемая переоценка которых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Пронько К.Н.в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