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17.08.2020, оставленным без изменения постановлением Девятого арбитражного апелляционного суда от 05.11.2020, в удовлетворении заявления отказано. Арбитражный суд Московского округа постановлением от 08.04.2021 отменил определение от 17.08.2020 и постановление Девятого арбитражного апелляционного суда от 05.11.2020 и направил обособленный спор на новое рассмотрение в Арбитражный суд города Москвы. В кассационной жалобе Скрипченко В.Г. просит отменить постановление окружного суда, ссылаясь на нарушение пределов рассмотрения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Окружной суд установил, что суды первой и апелляционной инстанций не исследовали обстоятельств спора и доводов сторон и не применили надлежащие нормы права, поэтому отменил их судебные акты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Скрипченко В.Г.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