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города Москвы определением от 23.11.2020, оставленным без изменения постановлением Девятого арбитражного апелляционного суда от 04.02.2021, завершил процедуру реализации имущества должника, не освободив его от дальнейшего исполнения требований кредиторов. Арбитражный суд Московского округа постановлением от 28.04.2021 определение от 23.11.2020 и постановление Девятого арбитражного апелляционного суда от 04.02.2021 оставил без изменения. В кассационной жалобе Хасянов М.Н. просит об отмене судебных актов, ссылаясь на принятие недопустимых доказательств его финансового положения.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должник не исполняет обязанности по представлению сведений об имуществе и доходах, наличие которых подтверждается собранными доказательствами, что не позволяет признать его добросовестным и освободить в силу пункта 4 статьи 213.28 Федерального закона от 26.10.2002 № 127-ФЗ «О несостоятельности (банкротстве)» от исполнения обязательств перед кредиторами. Вопросы доказывания и оценки доказательств, положенные в основу жалобы, не обладают критериями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Хасянову М.Н.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