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24.08.2020, оставленным без изменения постановлением Семнадцатого арбитражного апелляционного суда от 07.12.2020 и постановлением Арбитражного суда Уральского округа от 09.04.2021, иск удовлетворен. В кассационной жалобе общество просит об отмене судебных актов, ссылаясь на неосновательное взыскание стоимости не оказанных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договором на оказание охранных услуг с помощью пульта централизованного наблюдения от 01.01.2018 № 62 цена оказываемых услуг согласована в виде ежемесячной абонентской платы в фиксированном размере и не уплачена обществом в заявленном периоде в полном объеме, поэтому взыскали задолженность в соответствии с договором и статьями 330, 779, 781 Гражданского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«Охранное предприятие «Рыцарь»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