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09.07.2020, оставленным без изменения постановлением Десятого арбитражного апелляционного суда от 25.12.2020 и постановлением Арбитражного суда Московского округа от 04.05.2021, заявление публичного акционерного общества «Сбербанк России» (далее – банк) признано обоснованным, в отношении должника введена процедура реструктуризация долгов, требования банка включены в третью очередь реестра требований кредиторов должника, утвержден финансовый управляющий. В кассационной жалобе Мухамедзянов М. Х. просит о пересмотре судебных актов, ссылаясь на неустановление наличия у него спорной задолженности и рассмотрение спора в суде первой инстанции без его представителя при заявленном ходатайстве об отложении.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у Мухамедзянова М. Х. перед банком спорной задолженности, подтвержденной вступившими в законную силу судебными актами, установлено судами, поэтому требование удовлетворено в соответствии со статьями 213.2, 213.3, 213.5, 213.6 Федерального закона от 26.10.2002 № 127-ФЗ «О несостоятельности (банкротстве)». Рассмотрение дела в отсутствие извещенного должника не является нарушением и не влияет на судьбу судебных актов. Руководствуясь статьями,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Мухамедзянову Мансуру Харисовичу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