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30.12.2020, оставленным без изменения постановлением Девятого арбитражного апелляционного суда от 22.03.2021, в удовлетворении заявления компании о включении требования в реестр отказано. Арбитражный суд Московского округа постановлением от 31.05.2021 определение от 30.12.2020 и постановление Девятого арбитражного апелляционного суда от 22.03.2021 оставил без изменения. В кассационной жалобе компания Кроонкасс Лимитед просит об отмене судебных актов, ссылаясь на игнорирование реального движения денежных средств во исполнение заемного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непредставление доказательств в обоснование выдачи должником поручительства в отношении реально не исполняемого аффилированным лицом заемного обязательства, поэтому признали требование не доказанным в силу статьи 65 Арбитражного процессуального кодекса Российской Федерации. Вопросы доказывания и оценки доказательств, на которых построены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Кроонкасс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