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01.12.2020, оставленным без изменения постановлением Шестого арбитражного апелляционного суда от 08.02.2021 и постановлением Арбитражного суда Дальневосточного округа от 15.04.2021,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12, 15, 393, 625, 632, 639 Гражданского кодекса Российской Федерации, исходили из доказанности компанией совокупности условий, необходимых для взыскания с общества убытков. Выводы судов подробно мотивированы в обжалуемых судебных актах. Доводы кассационной жалобы не свидетельствуют о существенных нарушениях судами норм материального и процессуального права, повлиявших на исход дела, и по существу сводятся к переоценке фактических обстоятельств, установленных судами при рассмотрении настоящего дела. Такие доводы не могут быть признаны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в целях отмены принятых по делу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«ЕвроАзия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