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«Бейланд» (далее – общество) обратилось в Арбитражный суд города Москвы с заявлением к Департаменту городского имущества города Москвы (далее – департамент), государственному унитарному предприятию города Москвы «Дирекция строительства и эксплуатации объектов гаражного назначения города Москвы» (далее – предприятие), Департаменту строительства города Москвы (далее – департамент строительства) об оспаривании бездействия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имущества, обязании обеспечить заключение договора на проведение оценки рыночной стоимости арендуемого имущества, принять решение об условиях его приватизации и передать заявителю проект договора купли-продажи недвижимого имущества. Решением Арбитражного суда города Москвы от 30.08.2019, оставленным без изменения постановлением Девятого арбитражного апелляционного суда 2 от 26.11.2019 и постановлением Арбитражного суда Московского округа от 20.07.2020, заявленные требования удовлетворены. Общество обратилось в Арбитражный суд города Москвы с заявлением о возмещении понесенных при рассмотрении дела судебных расходов, в котором просило взыскать с департамента 170 000 руб., с департамента строительства - 70 000 руб., с учреждения - 28 000 руб. Определением Арбитражного суда города Москвы от 20.11.2020, оставленным без изменения постановлением Девятого арбитражного апелляционного суда от 02.02.2021 и постановлением Арбитражного суда Московского округа от 12.04.2021, заявление общества удовлетворено. В кассационной жалобе, поданной в Верховный Суд Российской Федерации, департамент строительства, ссылаясь на нарушение судами норм процессуального права, просит отменить указанные судебные акты и направить вопрос о взыскании судебных расходов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подтверждающие несение обществом судебных расходов, относимость заявленных расходов к настоящему делу, учитывая категорию спора, степень сложности дела и продолжительность его рассмотрения, объем выполненной представителем работы, а также результаты рассмотрения дела, суды первой и апелляционной инстанций пришли к выводу о наличии оснований для удовлетворения заявления общества, с чем впоследствии согласился суд округа. Выраженное в жалобе несогласие с выводами судов о размере подлежащей взысканию суммы судебных расходов направлено на переоценку представленных в материалы дела доказательств, установление иных обстоятельств по делу, что не относится к полномочиям кассационной инстанции Верховного Суда Российской Федерации. 3 Приведенные в кассационной жалобе доводы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строительства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