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05.10.2020, оставленным без изменения постановлением Седьмого арбитражного апелляционного суда от 11.12.2020, в удовлетворении заявленного требования отказано. 2 Постановлением Арбитражного суда Западно-Сибирского округа от 15.04.2021 указанные судебные акты оставлены без изменения. Общество в жалобе указывает на наличие в действиях общества с ограниченной ответственностью «Дискус плюс» составов правонарушений, ответственность за которые предусмотрена статьями 9.9, 9.11 Кодекса Российской Федерации об административных правонарушениях. Между тем,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правонарушении. Следовательно, по истечении этого срока вопрос о привлечении к административной ответственности лица обсуждаться не может.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передача кассационной жалобы в Судебную коллегию Верховного Суда Российской Федерации не приведет к защите прав и законных интересов общества. При указанных обстоятельствах доводы жалобы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