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16.10.2020 заявленное требование удовлетворено частично, с жилищной инспекции в пользу общества взыскано 27 000 рублей убытков. В удовлетворении остальной части искового заявления отказано. Постановлением Восемнадцатого арбитражного апелляционного суда от 09.03.2021, оставленным без изменения постановлением Арбитражного суда Уральского округа от 03.06.2021, решение суда отменено, исковое заявление удовлетворено. 2 В кассационной жалобе, поданной в Верховный Суд Российской Федерации, жилищная инспекция, ссылаясь на существенное нарушение норм права, просит отменить постановления апелляционного суда и суда округа, направить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03.06.2019 жилищной инспекцией в отношении общества составлен протокол об административном правонарушении № 19-2807, ответственность за которое предусмотрена частью 1 статьи 7.23.2 КоАП РФ. По результатам рассмотрения дела об административном правонарушении постановлением жилищной инспекции от 08.07.2019 № 765 общество привлечено к административной ответственности за совершение правонарушения по части 1 статьи 7.23.2 КоАП РФ в виде предупреждения. Решением Арбитражного суда Челябинской области от 25.02.2020 по делу № А76-28772/2019 постановление жилищной инспекции признано незаконным. В связи с необходимостью защиты прав и законных интересов при оспаривании указанного постановления в суде, между обществом (заказчик) и Буланаковой Н.С. (исполнитель) заключен договор на оказание юридических услуг от 01.08.2019, пунктом 2.1 которого предусмотрено, что за выполнение работ заказчик выплачивает исполнителю вознаграждение в общей сумме 30 000 рублей. Факт оплаты оказанных услуг подтверждается расходным кассовым ордером № 58 от 02.08.2019. Указанные обстоятельства послужили основанием для обращения в арбитражный суд с иском о взыскании с ответчика расходов, понесенных в ходе производства по делу об административном правонарушении. Рассматривая спор, суд первой инстанции, руководствуясь положениями статей 15, 125, 1064, 1069, 1071 Гражданского кодекса Российской Федерации, статьями 6, 158 Бюджетного кодекса Российской Федерации, учитывая разъяснения, изложенные в пункте 26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3 административных правонарушениях», пунктах 14 - 16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с учетом обстоятельств дела, предмета и сложности спора, решаемых в нем вопросов фактического и правового характера, сфер применяемого законодательства, подготовленных документов, количества судебных заседаний, объема и сложности проделанной юридической работы, пришел к выводу о наличии оснований для взыскания с ответчика убытков в виде понесенных расходов в сумме 23 000 рублей. Отменяя решение суда, суд апелляционной инстанции установил существенное процессуальное нарушение, допущенное судом первой инстанции, в связи с чем перешел к рассмотрению дела по правилам суда первой инстанции. Удовлетворяя исковое требование, суд исходил из доказанности обществом факта несения расходов на оплату юридических услуг по делу об административном правонарушении, причинно-следственной связи между допущенным нарушением и возникшими у общества убытками в заявленном размере. Суд округа поддержал выводы суда апелляционной инстанции. Доводы жилищной инспекции, изложенные в жалобе, являлись предметом рассмотрения судов апелляционной инстанции и округа и им дана надлежащая правовая оценка. По существу доводы жалобы повторяют позицию ответчика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основаны на ином толковании норм гражданского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«Государственная жилищная инспекция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