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31.01.2020, оставленным без изменения постановлением Семнадцатого арбитражного апелляционного суда от 22.10.2020 и постановлением Арбитражного суда Уральского округа от 05.04.2021, заявленные требования удовлетворены.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Арбитражный суд Свердловской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учитывая последовательность передачи общего имущества от застройщика истцу, заключение собственниками нежилых помещений договоров на эксплуатационные услуги с истцом, суды первой и апелляционной инстанций пришли к выводу о том, что в рассматриваемом случае способом управления спорным нежилым зданием является управляющая компания, в связи с чем ответчик в одностороннем порядке не может изменить конкретную форму участия в расходах на содержание общего имущества, поскольку она зависит от способа управления нежилым зданием. При таких обстоятельствах, принимая во внимание отсутствие доказательств того, что способ управления нежилым зданием изменился в установленном законом порядке после заключения спорного договора, руководствуясь статьями 210 , 249 , 421 , 432 , 450 , 450.1 , 782 Гражданского кодекса Российской Федерации, суды пришли к выводу о наличии оснований для удовлетворения заявленных требований, с чем впоследствии согласился суд округа. С учетом установленных судами фактических обстоятельств настоящего дела доводы, изложенные заявителем в кассационной жалобе,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«Мега-Инвест»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ТОРГОВО-РАЗВЛЕКАТЕЛЬНЫЙ ЦЕНТР "МЕГАПОЛИС" (подробнее) Ответчики: ООО "Мега-Инвест" (подробнее) Судьи дела: Чучунова Н.С.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