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Ростовской области с иском к обществу с ограниченной ответственностью «Промкомплектэлектро» (далее – компания) о взыскании 7 686 393 руб. задолженности, 4 282 873 руб. 28 коп. неустойки. Компания предъявила встречный иск к обществу о взыскании 9 935 804 руб. 87 коп. неосновательного обогащения Решением Арбитражного суда Ростовской области от 23.03.2020 первоначальные исковые требования удовлетворены, в удовлетворении встречного иска отказано. Постановлением Пятнадцатого арбитражного апелляционного суда от 11.03.2021 решение суда первой инстанции изменено. Первоначальные требования удовлетворены в части взыскания с компании в пользу общества 3 105 576 руб. 28 коп. задолженности, 2 183 786 руб. 46 коп. неустойки, в остальной части требований отказано. Встречный иск удовлетворен в части взыскания с общества в пользу компании 9 894 332 руб. 55 коп. неосновательного обогащения, в остальной части требований отказано. 2 Произведен зачет удовлетворенных требований. Распределены судебные расходы. Пятнадцатый арбитражный апелляционный суд определением от 15.03.2021 исправил описку и арифметические ошибки, допущенные в резолютивной части постановления от 11.03.2021. Постановлением Арбитражного суда Северо-Кавказского округа от 27.05.2021 определение суда апелляционной инстанции оставлено без изменения. В кассационной жалобе, поданной в Верховный Суд Российской Федерации, общество просит отменить определение суда апелляционной инстанции и постановление суда округа,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Исправляя описку (арифметические ошибки), допущенную в резолютивной части судебного акта, апелляционный суд руководствовался статьей 179 Арбитражного процессуального кодекса Российской Федерации и исходил из того, что данная описка носит технический характер и не меняет содержание судебного акта. С этим согласился суд округа, мотивированно отклонив возражения заявителя. Изложенные в кассационной жалобе доводы не свидетельствуют о наличии существенных нарушений норм права и не могут служить достаточными основаниями для отмены обжалуемых судебных актов.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«ЛП-Строй»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