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23.03.2020 первоначальные исковые требования удовлетворены, в удовлетворении встречного иска отказано. Постановлением Пятнадцатого арбитражного апелляционного суда от 11.03.2021 (с учетом определения от 15.03.2021 об исправлении опечатки и арифметической ошибки) решение суда первой инстанции изменено. Первоначальные требования удовлетворены в части взыскания с компании в пользу общества 3 105 576 руб. 28 коп. задолженности, 2 183 786 руб. 46 коп. неустойки, в остальной части требований отказано. Встречный иск удовлетворен в части взыскания с общества в пользу компании 9 894 332 руб. 55 коп. неосновательного обогащения, в остальной части 2 требований отказано. Произведен зачет удовлетворенных требований. Распределены судебные расходы. Постановлением Арбитражного суда Северо-Кавказского округа от 31.05.2021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первоначальные требования обоснованы ненадлежащим исполнением компанией (заказчик) обязательств по оплате работ по договорам подряда. Встречные требования мотивированы тем, что обществу (подрядчик) были перечислены денежные средства с целью привлечения его к выполнению работ на объектах («Магазин «Пятерочка» в Республике Адыгея, г. Майкоп по ул. Депутатская, 8 и в Краснодарском крае, Гулькевичский район п. Венцы, ул. Советская, 9), однако подрядные отношения между сторонами по указанным объектам не сложились, общество к выполнению работ не привлекалось, фактически работы не выполняло, поэтому не имеет оснований для удержания полученных денежных средств.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307, 309, 310, 330, 410, 720, 740, 753, 1102 Гражданского кодекса Российской Федерации, установив факт выполнения обществом работ по договорам, учитывая произведенный зачет требований, суд апелляционной инстанции пришел к выводу о наличии оснований для частичного удовлетворения первоначальных требований. Исходя из отсутствия доказательств выполнения обществом работ на указанных компанией объектах (за исключением части работ, выполненных привлеченными подрядными организациями), суд признал подтвержденным факт возникновения на стороне общества неосновательного обогащения в удовлетворенном размере. Суд округа поддержал выводы апелляционного суда. Доводы заявителя кассационной жалобы были предметом рассмотрения суда округа и получили соответствующую правовую оценку. 3 Доводы кассационной жалобы выводы судов апелляционной инстанции и округа не опровергают,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«ЛП-Строй»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