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12.08.2019 исковые требования удовлетворены. Общество (кредитор компании), ссылаясь на пункт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обратилось в Девятый арбитражный апелляционный суд с апелляционной жалобой на решение суда первой инстанции. Постановлением Девятого арбитражного апелляционного суда от 01.12.2020 решение суда первой инстанции оставлено без изменения. Постановлением Арбитражного суда Московского округа от 05.04.2021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норм права, просит 2 отменить указанные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Удовлетворяя исковые требования, суд первой инстанции,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309, 310, 395, 702, 746, 753 Гражданского кодекса Российской Федерации, исходил из доказанности факта выполнения истцом работ на спорную сумму, принятия их результата ответчиком и отсутствия доказательств оплаты со стороны последнего. Суды апелляционной инстанции и округа согласились с выводами суда первой инстанции, отклонив доводы заявителя, в том числе о мнимости спорного договора.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«Росспецизделие»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