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31.07.2020, оставленным без изменения постановлением Тринадцатого арбитражного апелляционного суда от 18.12.2020 и постановлением Арбитражного суда Северо-Западного округа от 05.04.2021, в удовлетворении первоначальных исковых требований отказано; встречные 2 исковые требования удовлетворены частично, с предпринимателя в пользу общества взыскано 147 500 руб. задолженности, 973 руб. 50 коп. пеней за период с 28.09.2019 по 02.12.2019, а также пени на сумму задолженности по ставке 0,01%, начиная с 03.12.2019 по дату ее погашения, в остальной части требований отказано.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принять по делу новый судебный акт об удовлетворении первоначальных исковых требований и отказе в удовлетворении встречных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Как следует из судебных актов, первоначальные исковые требования обоснованы ошибочным перечислением обществу денежных средств; встречный иск мотивирован наличием у предпринимателя задолженности по оплате работ, выполненных в рамках договора от 18.10.2018 № 18/10-ПТ.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183, 329, 330, 432, 759, 762, 1102 Гражданского кодекса Российской Федерации, суды первой и апелляционной инстанций пришли к выводу о наличии оснований для отказа в удовлетворении первоначальных требований и частичного удовлетворения встречного иска (с учетом произведенного перерасчета суммы пеней). В частности, суды исходили из недоказанности неосновательного обогащения общества за счет предпринимателя ввиду наличия между сторонами договорных отношений и подтвержденности факта выполнения, передачи обществом предпринимателю результата работ и отсутствия его полной оплаты.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по существу направлены на переоценку доказательств и фактических обстоятельств дела, и не подтверждают существенных нарушений судами норм материального и процессуального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Каплан Светланы Захаровны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