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21.09.2020 иск удовлетворен. Постановлением Семнадцатого арбитражного апелляционного суда от 28.12.2020 решение суда первой инстанции отменено, в удовлетворении иска отказано. Постановление Арбитражного суда Уральского округа от 12.04.2021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права, просит отменить их постановления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требования общества (арендатор) мотивированы ненадлежащим исполнением компанией (субарендатор) обязательств по уплате арендных платежей по договору от 01.04.2019 № 01/04-2019 субаренды нежилого помещения (далее – договор).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стороны спорной сделки являются аффилированными лицами; подлинная воля сторон не была направлена на установление арендных правоотношений, сделка совершена со злоупотреблением права и направлена на создание искусственной задолженности и, как следствие, на нарушение прав и законных интересов кредиторов ответчика, руководствуясь статьями 10, 168, 170 Гражданского кодекса Российской Федерации, суд апелляционной инстанции признал договор мнимой сделкой и пришел к выводу о необоснованности заявленных требований. Суд округа согласился с выводами апелляционного суда. Возражения заявителя, изложенные им в кассационной жалобе, по сути, направлены на переоценку доказательств по делу, что не входит в полномочия суда при кассационном производстве.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«Группа компаний «Капелла»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