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14.09.2020, оставленным без изменения постановлением Пятого арбитражного апелляционного суда от 18.12.2020 и постановлением Арбитражного суда Дальневосточного округа от 05.04.2021, производство по делу в части взыскания процентов прекращено, в остальной части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нарушение судами норм права.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заключенных сторонами договоров строительного подряда, установив факт выполнения предпринимателем (субподрядчик) работ и принятия их результата обществом (генподрядчик), отсутствие доказательств наличия в результате работ недостатков, а также его оплаты в полном объеме, руководствуясь статьями 309, 310, 330, 702, 709, 711, 720, 753 Гражданского кодекса Российской Федерации, суды первой и апелляционной инстанций пришли к выводу об обоснованности заявленных требований,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«Хоттей»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