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02.11.2020, оставленным без изменения постановлением Четырнадцатого арбитражного апелляционного суда от 20.01.2021 и постановлением Арбитражного суда Северо-Западного округа от 29.04.2021, иск удовлетворен.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истцом ответчику спорных денежных средств и отсутствие встречного предоставления со стороны последнего, руководствуясь статьей 1102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Возражения заявителя, в том числе о наличии оснований для применения к разрешению спора положений пункта 4 статьи 1109 Гражданского кодекса Российской Федерации, исследовались судами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Лысковой Алии Илдаровны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