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Саратовской области от 22.10.2020, оставленным без изменения постановлением Двенадцатого арбитражного апелляционного суда от 21.01.2021, в удовлетворении требования отказано. Арбитражный суд Поволжского округа постановлением от 09.04.2041 определение от 22.10.2020 и постановление Двенадцатого арбитражного апелляционного суда от 21.01.2021 оставил без изменения. В кассационной жалобе общество с ограниченной ответственностью «Промоборудование» просит об отмене судебных актов, ссылаясь на неправильные определение характера спорных правоотношений и исчисление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Независимо от характера спорных правоотношений их возникновение общество «Промоборудование» относит к периоду с 01.03.2015 по 30.10.2016, находящемуся к моменту подачи рассматриваемого заявления за пределами исковой давности, о применении которой заявлено и последствия пропуска срока которой применены в соответствии со статьями 196, 199 и 200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«Промоборудование»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