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августа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указанные судебные акты, одновременно заявив ходатайство о восстановлении пропущенного срока ее подачи. В соответствии с частью 2 статьи 291.2 Арбитражного процессуального кодекса Российской Федерации (далее –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кассационной жалобы, представления рассматривается судьей Верховного Суда Российской Федерации в порядке, предусмотренном статьей 117 АПК РФ (часть 3 статьи 291.2 АПК РФ ).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292 и 312 названного Кодекса предельные допустимые сроки для его восстановления. Поскольку ходатайство о восстановлении пропущенного процессуального срока заявлено обществом в пределах установленного срока, причины пропуска срока признаны судом уважительными, данное ходатайство подлежит удовлетворению. Руководствуясь статьями 117 , 184 ,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закрытого акционерного общества «Институт «Тюменькоммунстрой» удовлетворить. Срок подачи кассационной жалобы на решение Арбитражного суда города Москвы от 12.08.2020, постановление Девятого арбитражного апелляционного суда от 03.12.2020 и постановление Арбитражного суда Московского округа от 07.04.2021 по делу № А40-342300/2019 восстановить.Судья Верховного Суда Российской Федерации Н.С. Чучунова Суд: Верховный Суд РФ (подробнее) Истцы: ЗАО "Институт "Тюменькоммунстрой" (подробнее) Ответчики: ООО "ТСМ"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