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12.11.2020, оставленным без изменения постановлением Семнадцатого арбитражного апелляционного суда от 03.02.2021 и постановлением Арбитражного суда Уральского округа от 22.04.2021, с общества в пользу компании взыскано 1 500 000 руб. долга, 572 318 руб. 28 коп. процентов по займу, 1 000 000 руб.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2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компанией денежных средств обществу в качестве займа, отсутствие доказательств их возврата и уплаты процентов за пользование займом в предусмотренные договором сроки, руководствуясь статьями 330, 331, 807, 808, 810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 с учетом снижения размера взыскиваемой неустойки на основании статьи 333 Гражданского кодекса Российской Федерации. Суд округа согласился с выводами судов первой и апелляционной инстанций. Доводы кассационной жалобы, в том числе о неподписании генеральным директором общества договора займа, были предметом рассмотрения судов и получили правовую оценку, по существу направлены на переоценку доказательств и фактических обстоятельств дела,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«Магаданское РПП»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