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01.12.2020, оставленным без изменения постановлением Шестого арбитражного апелляционного суда от 05.02.2021 и постановлением Арбитражного суда Дальневосточного округа от 08.04.2021, в удовлетворении жалобы банка на бездействие финансового управляющего, выразившееся в непринятии мер по включению в конкурсную массу имущества, отказано. В кассационной жалобе банк просит о пересмотре судебных актов, ссылаясь на обязанность включения имущества супруги должника в конкурсную массу по факту сокрытия сведений о брачном договоре.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обязанности должника по уведомлению банка о состоявшемся до возникновения обязательства изменении режима имущества супруги и ненаступление для финансового управляющего вменяемых последствий невключения имущества супруги в конкурсную массу, поэтому отказали в удовлетворении жалобы в соответствии со статьями 20.3, 60, Федерального закона от 26.10.2002 № 127-ФЗ «О несостоятельности (банкротстве)», статьями 33, 42, 46 Семейного кодекса Российской Федерации и их судебному толкованию применительно к банкротству. Руководствуясь статьями,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«Социальный коммерческий банк Приморья «Примсоцбанк»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