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13.05.2020 договор купли-продажи автомобиля от 23.12.2016, заключенный должником и Баженовой В.А., признан недействительным, применены последствия недействительности сделки в виде восстановления требования Баженовой В.А. к должнику на 1 400 000 рублей. Постановлением Семнадцатого арбитражного апелляционного суда от 22.12.2020, оставленным без изменения постановлением Арбитражного суда Уральского округа от 05.04.2021, определение от 13.05.2020 отменено, договор купли-продажи автомобиля от 23.12.2016 признан недействительным, с Баженовой В.А. в конкурсную массу взыскано 1 400 000 рублей. В кассационной жалобе Соловьева Н.В. просит о пересмотре судебных актов, ссылаясь на неосновательное непринятие доказательства об источнике денежных средств для оплаты сделки и совершение сделки до наступления неплатежеспособности.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должником в пользу матери имущества при неисполненных перед кредиторами денежных обязательствах в качестве условий для признания сделки недействительной в силу статьи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Соловьевой Надежде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