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07.11.2018 исковые требования удовлетворены полностью. Определением от 29.01.2019 Девятый арбитражный апелляционный суд перешел к рассмотрению дела по правилам суда первой инстанции в связи с нарушением судом первой инстанции норм процессуального права, влекущим безусловную отмену судебного акта. Определением от 27.02.2019 общество «Финансовый ресурс», общество «ЭнергоТрансБанк» и общество «Сбербанк Лизинг» привлечены к участию в деле в качестве третьих лиц, заявляющих самостоятельные требования. Постановлением Девятого арбитражного апелляционного суда от 17.05.2019, оставленным без изменения постановлением Арбитражного суда Московского округа от 29.08.2019, решение суда первой инстанции отменено, исковые требования Сбербанка, общества «Финансовый ресурс», общества «ЭнергоТрансБанк» и общества «Сбербанк Лизинг» удовлетворены полностью. В кассационных жалобах, поданных в Судебную коллегию Верховного Суда Российской Федерации, заявители просят отменить обжалуемые судебные акты, ссылаясь на их незаконность. В силу части 1 статьи 291.11 Арбитражного процессуального кодекса Российской Федерации (далее - Кодекс)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Между тем таких оснований не установлено. Суд апелляционной инстанции, исследовав и оценив представленные доказательства по правилам главы 7 Кодекса, руководствуясь положениями статей 166 , 170 Гражданского кодекса Российской Федерации, статьи 7 Федерального закона от 26.12.1995 № 208-ФЗ «Об акционерных обществах», пришел к выводу о том, что договор мены от 17.11.2017 заключен между ФИО1 и ФИО2 является ничтожной сделкой в силу притворности, поскольку фактически по указанному договору ФИО1 продал ФИО2 3 872 акции общества «Регистраторское общество «СТАТУС»; при продаже акций было нарушено право акционеров непубличного общества на приобретение отчуждаемых акций пропорционально принадлежащим им количеству акций; требования о переводе на истца и третьих лиц с самостоятельными требованиями прав и обязанностей покупателей акций, а также о списании акций со счета ФИО2 являются обоснованными и подлежат удовлетворению. Суд округа согласился с выводами суда апелляционной инстанции. Доводы заявителей повторяют доводы жалоб, рассмотренных судом округа, не опровергают правильность выводов судов и не являются достаточным основанием для пересмотра судебных актов в кассационном порядке. Существенных нарушений норм материального и процессуального права, повлиявших на исход дела, указанные в жалобах доводы не подтверждают.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отсутствуют.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Судьи дела: Золотова Е.Н.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