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27.10.2020, оставленным без изменения постановлением Третьего арбитражного апелляционного суда от 27.01.2021, в удовлетворении иска отказано. Постановлением Арбитражного суда Восточно-Сибирского округа от 19.04.2021 решение суда первой инстанции и постановление суда апелляционной инстанции отменены, дело направлено на новое рассмотрение в Арбитражный суд Красноярского края. В кассационной жалобе, поданной в Верховный Суд Российской Федерации, учреждение,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автономного дошкольного образовательного учреждения «Детский сад № 122»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