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08.10.2019, оставленным без изменения постановлением Пятого арбитражного апелляционного суда от 25.12.2019, в удовлетворении первоначального иска отказано, встречный иск удовлетворен. Постановлением Арбитражного суда Дальневосточного округа от 08.06.2020 указанные судебные акты отменены, дело направлено на новое рассмотрение в арбитражный суд первой инстанции. В кассационной жалобе, поступившей в Верховный Суд Российской Федерации, учреждение просит отменить постановление суда округа, ссылаясь на неверное толкование и применение судом норм материального права, что повлияло на исход настоящего дела.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судебного акта в кассационном порядке по доводам жалобы отсутствуют. Как следует из судебных актов, первоначальный иск мотивирован незаконным получением учреждением (заказчик) обеспечения по банковской гарантии, встречный иск обоснован ненадлежащим исполнением обществом (поставщик) обязательств по заключенному между сторонами контракту от 09.01.2018 на поставку продуктов питания. Удовлетворяя требование учреждения и отказывая в удовлетворении требований общества, суды первой и апелляционной инстанций исходили из доказанности факта ненадлежащего исполнения обществом обязательств по поставке товара, правомерности удержания штрафов из суммы обеспечения исполнения контракта, а также отсутствия доказательств уплаты обществом штрафов в полном объеме. Суд кассационной инстанции, отменяя принятые по делу судебные акты и передавая дело на новое рассмотрение, руководствовался положениями статей 1 , 329 , 330 , 456 , 506 , 525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от 30.08.2017 № 1042, правовой позицией, изложенной в постановлении Президиума Высшего Арбитражного Суда Российской Федерации от 15.07.2014 № 5467/14, и пришел к выводу, что начисление учреждением неустойки (штрафа) на общую сумму контракта без учета надлежащего исполнения обществом его отдельных частей (заявок на поставку товара) является неправомерным. Отменяя решение суда первой инстанции и постановление суда апелляционной инстанции и передавая дело на новое рассмотрение ввиду неправильного применения судами норм материального права, суд округа действовал в пределах полномочий, предоставленных статьями 286 – 288 Арбитражного процессуального кодекса Российской Федерации. Обжалуя постановление суда округа, учреждение, не соглашаясь с выводами суда о расчете штрафа за нарушение условий контракта как процента от этапа контракта, указывает, что данные выводы основаны на неверном применении закона и сделаны без учета обстоятельств, имеющих существенное значение по делу. Между тем при новом рассмотрении дела учреждение в соответствии со статьей 41 Арбитражного процессуального кодекса Российской Федерации вправе заявлять доводы по всем возникающим в ходе рассмотрения дела вопросам, представлять соответствующие доказательства и иными способами обосновывать свою правовую позицию по спору. Приведенные в жалобе доводы не свидетельствуют о наличии существенных нарушений норм материального и (или) процессуального права, повлиявших на исход дела, и не являются достаточным основанием для пересмотра обжалуемого судебного акта в кассационном порядке. Кроме того, исходя из сведений, содержащихся на официальном сайте арбитражного суда в сети «Интернет» в информационной системе «Картотека арбитражных дел», судом первой инстанции при новом рассмотрении настоящего дела принято решение от 09.09.2020 о частичном удовлетворении первоначального иска и об отказе в удовлетворении встречного иска.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Д.В. ТютинРоссийской Федерации Суд: Верховный Суд РФ (подробнее) Истцы: ООО "Гранит" (подробнее) Ответчики: ГОСУДАРСТВЕННОЕ БЮДЖЕТНОЕ ПРОФЕССИОНАЛЬНОЕ ОБРАЗОВАТЕЛЬНОЕ УЧРЕЖДЕНИЕ "САХАЛИНСКИЙ ТЕХНИКУМ СЕРВИСА"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